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중개 과실에 따른 손해배상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공인중개사인 수신인의 중개로 아래 주택의 임대차계약을 맺었습니다.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주택 : 서울특별시 ○○구 ○○로 123, 101동 1001호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보증금 : 금 100,000,000원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계약 당시 수신인은 다음과 같이 설명하였고, 발신인은 이를 믿고 계약하였습니다.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선순위 근저당이 많은데도 경매가 되어도 보증금을 모두 돌려받을 수 있다고 설명했습니다.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그 결과 주택이 경매되어 보증금을 한 푼도 배당받지 못했습니다. 중개사는 권리관계를 정확히 확인·설명할 의무가 있으므로(공인중개사법 제25조, 제30조) 이 손해는 수신인의 책임입니다.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이에 손해배상금 금 50,000,000원을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6. 기한까지 지급되지 않으면 공제(보증보험) 청구와 소송 등 법적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