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면책채권 추심 중단 요청의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수신인은 발신인이 2020. 5. 1. 빌린 금 10,000,000원에 대한 채무의 변제를 계속 요구하고 있습니다.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발신인은 ○○지방법원 2024하면1234 파산·면책 절차에서 2025. 3. 15. 면책결정을 받았으므로, 위 채무를 갚을 책임이 없습니다(채무자회생법 제566조, 제625조).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면책 사실을 알면서 반복하여 변제를 요구하는 것은 법으로 금지되어 있고 과태료 대상입니다(채권추심법 제12조 제4호, 제17조). 앞으로 전화·문자·방문 등 어떤 방법으로도 변제를 요구하지 마시기 바랍니다.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이후에도 추심이 계속되면 금융감독원 민원과 관할 기관 신고 등 필요한 조치를 취하겠습니다.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