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상속포기 사실 통지의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돌아가신 홍○○의 상속인으로서 상속포기 신고를 하였고, 이 신고는 ○○가정법원 2026느단1234로 수리되었습니다(2026. 8. 20.).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상속을 포기한 사람은 처음부터 상속인이 아니었던 것으로 보므로(민법 제1042조), 발신인은 홍○○의 수신인에 대한 채무를 갚을 책임이 없습니다.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앞으로 발신인에게 위 채무의 변제를 요구하지 마시기 바랍니다. (붙임 : 상속포기 심판문 사본)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